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06D6" w14:textId="05B2C29F" w:rsidR="00216EFD" w:rsidRPr="006F6759" w:rsidRDefault="00D31CA4" w:rsidP="00216EFD">
      <w:pPr>
        <w:rPr>
          <w:b/>
          <w:u w:val="single"/>
        </w:rPr>
      </w:pPr>
      <w:r>
        <w:rPr>
          <w:b/>
          <w:noProof/>
        </w:rPr>
        <w:drawing>
          <wp:inline distT="0" distB="0" distL="0" distR="0" wp14:anchorId="55DC7F78" wp14:editId="64D0F6B9">
            <wp:extent cx="1743075" cy="9074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6258" cy="914287"/>
                    </a:xfrm>
                    <a:prstGeom prst="rect">
                      <a:avLst/>
                    </a:prstGeom>
                    <a:noFill/>
                    <a:ln>
                      <a:noFill/>
                    </a:ln>
                  </pic:spPr>
                </pic:pic>
              </a:graphicData>
            </a:graphic>
          </wp:inline>
        </w:drawing>
      </w:r>
      <w:r w:rsidR="00216EFD">
        <w:rPr>
          <w:b/>
        </w:rPr>
        <w:tab/>
      </w:r>
      <w:r w:rsidR="00216EFD">
        <w:rPr>
          <w:b/>
        </w:rPr>
        <w:tab/>
      </w:r>
      <w:r w:rsidR="00216EFD">
        <w:rPr>
          <w:b/>
        </w:rPr>
        <w:tab/>
      </w:r>
      <w:r w:rsidR="00216EFD">
        <w:rPr>
          <w:b/>
          <w:u w:val="single"/>
        </w:rPr>
        <w:t>PROXY ACCESS</w:t>
      </w:r>
    </w:p>
    <w:p w14:paraId="55C31502" w14:textId="3BD1A81B" w:rsidR="00216EFD" w:rsidRDefault="00216EFD" w:rsidP="00216EFD">
      <w:r>
        <w:t>Proxy Access allows parents, family members, and carers to have access to their patient’s online service account to book appointments, request repeat medication and where applicable, view their medical record.</w:t>
      </w:r>
    </w:p>
    <w:p w14:paraId="3809E2B1" w14:textId="672B99C3" w:rsidR="00216EFD" w:rsidRDefault="00216EFD" w:rsidP="00216EFD">
      <w:r>
        <w:t xml:space="preserve">If you would like to become a proxy user </w:t>
      </w:r>
      <w:r w:rsidR="00BA049F">
        <w:t xml:space="preserve">for a family member </w:t>
      </w:r>
      <w:r>
        <w:t>please print your details clearly below.</w:t>
      </w:r>
    </w:p>
    <w:tbl>
      <w:tblPr>
        <w:tblStyle w:val="TableGrid"/>
        <w:tblW w:w="0" w:type="auto"/>
        <w:tblLayout w:type="fixed"/>
        <w:tblLook w:val="04A0" w:firstRow="1" w:lastRow="0" w:firstColumn="1" w:lastColumn="0" w:noHBand="0" w:noVBand="1"/>
      </w:tblPr>
      <w:tblGrid>
        <w:gridCol w:w="3085"/>
        <w:gridCol w:w="1418"/>
        <w:gridCol w:w="1701"/>
        <w:gridCol w:w="1701"/>
        <w:gridCol w:w="2777"/>
      </w:tblGrid>
      <w:tr w:rsidR="00216EFD" w14:paraId="01AEFE87" w14:textId="77777777" w:rsidTr="00D31CA4">
        <w:tc>
          <w:tcPr>
            <w:tcW w:w="3085" w:type="dxa"/>
          </w:tcPr>
          <w:p w14:paraId="6E4A6887" w14:textId="3E285A46" w:rsidR="00216EFD" w:rsidRDefault="00180AFB" w:rsidP="00667F6A">
            <w:r>
              <w:t>N</w:t>
            </w:r>
            <w:r w:rsidR="00216EFD">
              <w:t>ame:</w:t>
            </w:r>
          </w:p>
        </w:tc>
        <w:tc>
          <w:tcPr>
            <w:tcW w:w="7597" w:type="dxa"/>
            <w:gridSpan w:val="4"/>
          </w:tcPr>
          <w:p w14:paraId="37990724" w14:textId="77777777" w:rsidR="00216EFD" w:rsidRDefault="00216EFD" w:rsidP="00667F6A"/>
          <w:p w14:paraId="04B3D2EA" w14:textId="77777777" w:rsidR="00216EFD" w:rsidRDefault="00216EFD" w:rsidP="00667F6A"/>
        </w:tc>
      </w:tr>
      <w:tr w:rsidR="00216EFD" w14:paraId="1C324CA3" w14:textId="77777777" w:rsidTr="00D31CA4">
        <w:tc>
          <w:tcPr>
            <w:tcW w:w="3085" w:type="dxa"/>
          </w:tcPr>
          <w:p w14:paraId="31673844" w14:textId="77777777" w:rsidR="00216EFD" w:rsidRDefault="00216EFD" w:rsidP="00667F6A">
            <w:r>
              <w:t>Your date of birth:</w:t>
            </w:r>
          </w:p>
        </w:tc>
        <w:tc>
          <w:tcPr>
            <w:tcW w:w="7597" w:type="dxa"/>
            <w:gridSpan w:val="4"/>
          </w:tcPr>
          <w:p w14:paraId="5FE65D86" w14:textId="77777777" w:rsidR="00216EFD" w:rsidRDefault="00216EFD" w:rsidP="00667F6A"/>
          <w:p w14:paraId="239EBFD6" w14:textId="77777777" w:rsidR="00216EFD" w:rsidRDefault="00216EFD" w:rsidP="00667F6A"/>
        </w:tc>
      </w:tr>
      <w:tr w:rsidR="00216EFD" w14:paraId="4BCE89E6" w14:textId="77777777" w:rsidTr="00D31CA4">
        <w:tc>
          <w:tcPr>
            <w:tcW w:w="3085" w:type="dxa"/>
          </w:tcPr>
          <w:p w14:paraId="50B2BF2A" w14:textId="77777777" w:rsidR="00216EFD" w:rsidRDefault="00216EFD" w:rsidP="00667F6A">
            <w:r>
              <w:t>Your email address:</w:t>
            </w:r>
          </w:p>
        </w:tc>
        <w:tc>
          <w:tcPr>
            <w:tcW w:w="7597" w:type="dxa"/>
            <w:gridSpan w:val="4"/>
          </w:tcPr>
          <w:p w14:paraId="745C7FB4" w14:textId="77777777" w:rsidR="00216EFD" w:rsidRDefault="00216EFD" w:rsidP="00667F6A"/>
          <w:p w14:paraId="1B9C073E" w14:textId="77777777" w:rsidR="00216EFD" w:rsidRDefault="00216EFD" w:rsidP="00667F6A"/>
        </w:tc>
      </w:tr>
      <w:tr w:rsidR="00216EFD" w14:paraId="54476B19" w14:textId="77777777" w:rsidTr="00D31CA4">
        <w:tc>
          <w:tcPr>
            <w:tcW w:w="3085" w:type="dxa"/>
          </w:tcPr>
          <w:p w14:paraId="4D8D151F" w14:textId="77777777" w:rsidR="00216EFD" w:rsidRDefault="00216EFD" w:rsidP="00667F6A">
            <w:r>
              <w:t>Do you already have an online account?</w:t>
            </w:r>
          </w:p>
        </w:tc>
        <w:tc>
          <w:tcPr>
            <w:tcW w:w="7597" w:type="dxa"/>
            <w:gridSpan w:val="4"/>
          </w:tcPr>
          <w:p w14:paraId="38701490" w14:textId="77777777" w:rsidR="00216EFD" w:rsidRPr="001B53BA" w:rsidRDefault="00216EFD" w:rsidP="00667F6A">
            <w:pPr>
              <w:rPr>
                <w:b/>
              </w:rPr>
            </w:pPr>
            <w:r w:rsidRPr="001B53BA">
              <w:rPr>
                <w:b/>
              </w:rPr>
              <w:t>Y/N</w:t>
            </w:r>
          </w:p>
          <w:p w14:paraId="3ED1AB09" w14:textId="77777777" w:rsidR="00216EFD" w:rsidRDefault="00216EFD" w:rsidP="00667F6A"/>
          <w:p w14:paraId="0C9B4021" w14:textId="77777777" w:rsidR="00216EFD" w:rsidRDefault="00216EFD" w:rsidP="00667F6A">
            <w:r>
              <w:t>If you do not already have an online account you will be required to complete the GP Online Services Registration form.</w:t>
            </w:r>
          </w:p>
          <w:p w14:paraId="3AF7ECE2" w14:textId="77777777" w:rsidR="00216EFD" w:rsidRDefault="00216EFD" w:rsidP="00667F6A"/>
        </w:tc>
      </w:tr>
      <w:tr w:rsidR="00216EFD" w14:paraId="7BC7FAB7" w14:textId="77777777" w:rsidTr="00D31CA4">
        <w:tc>
          <w:tcPr>
            <w:tcW w:w="3085" w:type="dxa"/>
          </w:tcPr>
          <w:p w14:paraId="52E4857B" w14:textId="77777777" w:rsidR="00216EFD" w:rsidRDefault="00216EFD" w:rsidP="00667F6A">
            <w:r>
              <w:t xml:space="preserve">Patient Name </w:t>
            </w:r>
          </w:p>
          <w:p w14:paraId="23E1B300" w14:textId="77777777" w:rsidR="00216EFD" w:rsidRDefault="00216EFD" w:rsidP="00667F6A">
            <w:r>
              <w:t>(child, person being cared for)</w:t>
            </w:r>
          </w:p>
        </w:tc>
        <w:tc>
          <w:tcPr>
            <w:tcW w:w="1418" w:type="dxa"/>
          </w:tcPr>
          <w:p w14:paraId="249CCF62" w14:textId="77777777" w:rsidR="00216EFD" w:rsidRDefault="00216EFD" w:rsidP="00667F6A">
            <w:r>
              <w:t>Date of Birth</w:t>
            </w:r>
          </w:p>
        </w:tc>
        <w:tc>
          <w:tcPr>
            <w:tcW w:w="1701" w:type="dxa"/>
          </w:tcPr>
          <w:p w14:paraId="2ECCA7E9" w14:textId="77777777" w:rsidR="00216EFD" w:rsidRDefault="00216EFD" w:rsidP="00667F6A">
            <w:r>
              <w:t>Relationship to you</w:t>
            </w:r>
          </w:p>
        </w:tc>
        <w:tc>
          <w:tcPr>
            <w:tcW w:w="1701" w:type="dxa"/>
          </w:tcPr>
          <w:p w14:paraId="7C527028" w14:textId="77777777" w:rsidR="00216EFD" w:rsidRDefault="00216EFD" w:rsidP="00667F6A">
            <w:r>
              <w:t xml:space="preserve">Access to medical records required </w:t>
            </w:r>
          </w:p>
        </w:tc>
        <w:tc>
          <w:tcPr>
            <w:tcW w:w="2777" w:type="dxa"/>
          </w:tcPr>
          <w:p w14:paraId="01A5988F" w14:textId="77777777" w:rsidR="00216EFD" w:rsidRDefault="00216EFD" w:rsidP="00667F6A">
            <w:r>
              <w:t>Patient permission signature</w:t>
            </w:r>
          </w:p>
          <w:p w14:paraId="48DA5A53" w14:textId="77777777" w:rsidR="00216EFD" w:rsidRDefault="00216EFD" w:rsidP="00667F6A">
            <w:r>
              <w:t>(</w:t>
            </w:r>
            <w:proofErr w:type="gramStart"/>
            <w:r w:rsidRPr="00D31CA4">
              <w:rPr>
                <w:b/>
                <w:bCs/>
              </w:rPr>
              <w:t>required</w:t>
            </w:r>
            <w:proofErr w:type="gramEnd"/>
            <w:r w:rsidRPr="00D31CA4">
              <w:rPr>
                <w:b/>
                <w:bCs/>
              </w:rPr>
              <w:t xml:space="preserve"> for patients aged 11 and over</w:t>
            </w:r>
            <w:r>
              <w:t>)</w:t>
            </w:r>
          </w:p>
        </w:tc>
      </w:tr>
      <w:tr w:rsidR="00216EFD" w14:paraId="15192626" w14:textId="77777777" w:rsidTr="00D31CA4">
        <w:tc>
          <w:tcPr>
            <w:tcW w:w="3085" w:type="dxa"/>
          </w:tcPr>
          <w:p w14:paraId="41EA3E9C" w14:textId="77777777" w:rsidR="00216EFD" w:rsidRDefault="00216EFD" w:rsidP="00667F6A"/>
          <w:p w14:paraId="5270B186" w14:textId="77777777" w:rsidR="00216EFD" w:rsidRDefault="00216EFD" w:rsidP="00667F6A"/>
          <w:p w14:paraId="48574D20" w14:textId="77777777" w:rsidR="00216EFD" w:rsidRDefault="00216EFD" w:rsidP="00667F6A"/>
        </w:tc>
        <w:tc>
          <w:tcPr>
            <w:tcW w:w="1418" w:type="dxa"/>
          </w:tcPr>
          <w:p w14:paraId="5836B098" w14:textId="77777777" w:rsidR="00216EFD" w:rsidRDefault="00216EFD" w:rsidP="00667F6A"/>
        </w:tc>
        <w:tc>
          <w:tcPr>
            <w:tcW w:w="1701" w:type="dxa"/>
          </w:tcPr>
          <w:p w14:paraId="4521AD9B" w14:textId="77777777" w:rsidR="00216EFD" w:rsidRDefault="00216EFD" w:rsidP="00667F6A"/>
        </w:tc>
        <w:tc>
          <w:tcPr>
            <w:tcW w:w="1701" w:type="dxa"/>
          </w:tcPr>
          <w:p w14:paraId="380DECD9" w14:textId="77777777" w:rsidR="00216EFD" w:rsidRDefault="00216EFD" w:rsidP="00667F6A">
            <w:pPr>
              <w:jc w:val="center"/>
            </w:pPr>
            <w:r>
              <w:t>Y/N</w:t>
            </w:r>
          </w:p>
        </w:tc>
        <w:tc>
          <w:tcPr>
            <w:tcW w:w="2777" w:type="dxa"/>
          </w:tcPr>
          <w:p w14:paraId="09441CFF" w14:textId="77777777" w:rsidR="00216EFD" w:rsidRDefault="00216EFD" w:rsidP="00667F6A"/>
        </w:tc>
      </w:tr>
      <w:tr w:rsidR="00216EFD" w14:paraId="67A9D079" w14:textId="77777777" w:rsidTr="00D31CA4">
        <w:tc>
          <w:tcPr>
            <w:tcW w:w="3085" w:type="dxa"/>
          </w:tcPr>
          <w:p w14:paraId="00D94C89" w14:textId="77777777" w:rsidR="00216EFD" w:rsidRDefault="00216EFD" w:rsidP="00667F6A"/>
          <w:p w14:paraId="2B59D73F" w14:textId="77777777" w:rsidR="00216EFD" w:rsidRDefault="00216EFD" w:rsidP="00667F6A"/>
          <w:p w14:paraId="30A35D90" w14:textId="77777777" w:rsidR="00216EFD" w:rsidRDefault="00216EFD" w:rsidP="00667F6A"/>
        </w:tc>
        <w:tc>
          <w:tcPr>
            <w:tcW w:w="1418" w:type="dxa"/>
          </w:tcPr>
          <w:p w14:paraId="06491BD8" w14:textId="77777777" w:rsidR="00216EFD" w:rsidRDefault="00216EFD" w:rsidP="00667F6A"/>
        </w:tc>
        <w:tc>
          <w:tcPr>
            <w:tcW w:w="1701" w:type="dxa"/>
          </w:tcPr>
          <w:p w14:paraId="3DBDE3FB" w14:textId="77777777" w:rsidR="00216EFD" w:rsidRDefault="00216EFD" w:rsidP="00667F6A"/>
        </w:tc>
        <w:tc>
          <w:tcPr>
            <w:tcW w:w="1701" w:type="dxa"/>
          </w:tcPr>
          <w:p w14:paraId="38DFE059" w14:textId="77777777" w:rsidR="00216EFD" w:rsidRDefault="00216EFD" w:rsidP="00667F6A">
            <w:pPr>
              <w:jc w:val="center"/>
            </w:pPr>
            <w:r>
              <w:t>Y/N</w:t>
            </w:r>
          </w:p>
        </w:tc>
        <w:tc>
          <w:tcPr>
            <w:tcW w:w="2777" w:type="dxa"/>
          </w:tcPr>
          <w:p w14:paraId="7FAE957D" w14:textId="77777777" w:rsidR="00216EFD" w:rsidRDefault="00216EFD" w:rsidP="00667F6A"/>
        </w:tc>
      </w:tr>
      <w:tr w:rsidR="00216EFD" w14:paraId="07DE3CEB" w14:textId="77777777" w:rsidTr="00D31CA4">
        <w:tc>
          <w:tcPr>
            <w:tcW w:w="3085" w:type="dxa"/>
          </w:tcPr>
          <w:p w14:paraId="78AF99BB" w14:textId="77777777" w:rsidR="00216EFD" w:rsidRDefault="00216EFD" w:rsidP="00667F6A"/>
          <w:p w14:paraId="03A98ABB" w14:textId="77777777" w:rsidR="00216EFD" w:rsidRDefault="00216EFD" w:rsidP="00667F6A"/>
          <w:p w14:paraId="1A3BDBB6" w14:textId="77777777" w:rsidR="00216EFD" w:rsidRDefault="00216EFD" w:rsidP="00667F6A"/>
        </w:tc>
        <w:tc>
          <w:tcPr>
            <w:tcW w:w="1418" w:type="dxa"/>
          </w:tcPr>
          <w:p w14:paraId="05689C4E" w14:textId="77777777" w:rsidR="00216EFD" w:rsidRDefault="00216EFD" w:rsidP="00667F6A"/>
        </w:tc>
        <w:tc>
          <w:tcPr>
            <w:tcW w:w="1701" w:type="dxa"/>
          </w:tcPr>
          <w:p w14:paraId="1940FEE1" w14:textId="77777777" w:rsidR="00216EFD" w:rsidRDefault="00216EFD" w:rsidP="00667F6A"/>
        </w:tc>
        <w:tc>
          <w:tcPr>
            <w:tcW w:w="1701" w:type="dxa"/>
          </w:tcPr>
          <w:p w14:paraId="6D7ECD76" w14:textId="77777777" w:rsidR="00216EFD" w:rsidRDefault="00216EFD" w:rsidP="00667F6A">
            <w:pPr>
              <w:jc w:val="center"/>
            </w:pPr>
            <w:r>
              <w:t>Y/N</w:t>
            </w:r>
          </w:p>
        </w:tc>
        <w:tc>
          <w:tcPr>
            <w:tcW w:w="2777" w:type="dxa"/>
          </w:tcPr>
          <w:p w14:paraId="349D0BE6" w14:textId="77777777" w:rsidR="00216EFD" w:rsidRDefault="00216EFD" w:rsidP="00667F6A"/>
        </w:tc>
      </w:tr>
      <w:tr w:rsidR="00216EFD" w14:paraId="1B20D54F" w14:textId="77777777" w:rsidTr="00D31CA4">
        <w:tc>
          <w:tcPr>
            <w:tcW w:w="3085" w:type="dxa"/>
          </w:tcPr>
          <w:p w14:paraId="73D3A5FC" w14:textId="77777777" w:rsidR="00216EFD" w:rsidRDefault="00216EFD" w:rsidP="00667F6A"/>
          <w:p w14:paraId="1993B19B" w14:textId="77777777" w:rsidR="00216EFD" w:rsidRDefault="00216EFD" w:rsidP="00667F6A"/>
          <w:p w14:paraId="521140ED" w14:textId="77777777" w:rsidR="00216EFD" w:rsidRDefault="00216EFD" w:rsidP="00667F6A"/>
        </w:tc>
        <w:tc>
          <w:tcPr>
            <w:tcW w:w="1418" w:type="dxa"/>
          </w:tcPr>
          <w:p w14:paraId="7AF4B815" w14:textId="77777777" w:rsidR="00216EFD" w:rsidRDefault="00216EFD" w:rsidP="00667F6A"/>
        </w:tc>
        <w:tc>
          <w:tcPr>
            <w:tcW w:w="1701" w:type="dxa"/>
          </w:tcPr>
          <w:p w14:paraId="194704BA" w14:textId="77777777" w:rsidR="00216EFD" w:rsidRDefault="00216EFD" w:rsidP="00667F6A"/>
        </w:tc>
        <w:tc>
          <w:tcPr>
            <w:tcW w:w="1701" w:type="dxa"/>
          </w:tcPr>
          <w:p w14:paraId="548D1A3A" w14:textId="77777777" w:rsidR="00216EFD" w:rsidRDefault="00216EFD" w:rsidP="00667F6A">
            <w:pPr>
              <w:jc w:val="center"/>
            </w:pPr>
            <w:r>
              <w:t>Y/N</w:t>
            </w:r>
          </w:p>
        </w:tc>
        <w:tc>
          <w:tcPr>
            <w:tcW w:w="2777" w:type="dxa"/>
          </w:tcPr>
          <w:p w14:paraId="443407ED" w14:textId="77777777" w:rsidR="00216EFD" w:rsidRDefault="00216EFD" w:rsidP="00667F6A"/>
        </w:tc>
      </w:tr>
      <w:tr w:rsidR="00216EFD" w14:paraId="514E9FF5" w14:textId="77777777" w:rsidTr="00D31CA4">
        <w:tc>
          <w:tcPr>
            <w:tcW w:w="3085" w:type="dxa"/>
          </w:tcPr>
          <w:p w14:paraId="55A3F2BE" w14:textId="668AE131" w:rsidR="00216EFD" w:rsidRPr="00180AFB" w:rsidRDefault="00180AFB" w:rsidP="00667F6A">
            <w:pPr>
              <w:rPr>
                <w:bCs/>
              </w:rPr>
            </w:pPr>
            <w:r w:rsidRPr="00180AFB">
              <w:rPr>
                <w:bCs/>
              </w:rPr>
              <w:t>I am aware that I am responsible for the security of the information I download</w:t>
            </w:r>
          </w:p>
          <w:p w14:paraId="0DA441F6" w14:textId="77777777" w:rsidR="00216EFD" w:rsidRDefault="00216EFD" w:rsidP="00667F6A">
            <w:pPr>
              <w:rPr>
                <w:b/>
              </w:rPr>
            </w:pPr>
          </w:p>
        </w:tc>
        <w:tc>
          <w:tcPr>
            <w:tcW w:w="7597" w:type="dxa"/>
            <w:gridSpan w:val="4"/>
          </w:tcPr>
          <w:p w14:paraId="71833329" w14:textId="77777777" w:rsidR="00216EFD" w:rsidRDefault="00216EFD" w:rsidP="00667F6A">
            <w:r>
              <w:t xml:space="preserve">Signature </w:t>
            </w:r>
          </w:p>
        </w:tc>
      </w:tr>
      <w:tr w:rsidR="00216EFD" w14:paraId="61F0E488" w14:textId="77777777" w:rsidTr="00D31CA4">
        <w:tc>
          <w:tcPr>
            <w:tcW w:w="3085" w:type="dxa"/>
          </w:tcPr>
          <w:p w14:paraId="505B61C7" w14:textId="77777777" w:rsidR="00216EFD" w:rsidRDefault="00216EFD" w:rsidP="00667F6A"/>
          <w:p w14:paraId="5CC2FF16" w14:textId="39761504" w:rsidR="00216EFD" w:rsidRPr="00180AFB" w:rsidRDefault="00216EFD" w:rsidP="00667F6A">
            <w:pPr>
              <w:rPr>
                <w:bCs/>
              </w:rPr>
            </w:pPr>
            <w:r w:rsidRPr="00180AFB">
              <w:rPr>
                <w:bCs/>
              </w:rPr>
              <w:t>I</w:t>
            </w:r>
            <w:r w:rsidR="00180AFB" w:rsidRPr="00180AFB">
              <w:rPr>
                <w:bCs/>
              </w:rPr>
              <w:t xml:space="preserve"> will contact the Practice as soon as possible if I suspect my account has been accessed by someone without my agreement</w:t>
            </w:r>
          </w:p>
        </w:tc>
        <w:tc>
          <w:tcPr>
            <w:tcW w:w="7597" w:type="dxa"/>
            <w:gridSpan w:val="4"/>
          </w:tcPr>
          <w:p w14:paraId="3FC0C922" w14:textId="77777777" w:rsidR="00216EFD" w:rsidRDefault="00216EFD" w:rsidP="00667F6A">
            <w:r>
              <w:t>Signature</w:t>
            </w:r>
          </w:p>
        </w:tc>
      </w:tr>
    </w:tbl>
    <w:p w14:paraId="717C24AC" w14:textId="77777777" w:rsidR="00216EFD" w:rsidRDefault="00216EFD" w:rsidP="00216EFD"/>
    <w:p w14:paraId="4297D092" w14:textId="506DF68D" w:rsidR="00216EFD" w:rsidRDefault="00D31CA4" w:rsidP="00216EFD">
      <w:pPr>
        <w:rPr>
          <w:b/>
        </w:rPr>
      </w:pPr>
      <w:r>
        <w:rPr>
          <w:b/>
        </w:rPr>
        <w:t>Please note that access to linked patient profiles via the NHS app is currently restricted to patients at the same GP surgery. If both are not at the same surgery, Patient Access is the only platform which supports this function.</w:t>
      </w:r>
    </w:p>
    <w:p w14:paraId="55295511" w14:textId="132AB5E5" w:rsidR="00B9667C" w:rsidRPr="00216EFD" w:rsidRDefault="00216EFD">
      <w:pPr>
        <w:rPr>
          <w:b/>
        </w:rPr>
      </w:pPr>
      <w:proofErr w:type="gramStart"/>
      <w:r>
        <w:rPr>
          <w:b/>
        </w:rPr>
        <w:t>Also</w:t>
      </w:r>
      <w:proofErr w:type="gramEnd"/>
      <w:r>
        <w:rPr>
          <w:b/>
        </w:rPr>
        <w:t xml:space="preserve"> Proxy Access will be automatically switched off when the patient turns 16, and either full access or proxy access will need to be re-applied for by completion of an online services registration form.</w:t>
      </w:r>
    </w:p>
    <w:sectPr w:rsidR="00B9667C" w:rsidRPr="00216EFD" w:rsidSect="000902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EFD"/>
    <w:rsid w:val="00180AFB"/>
    <w:rsid w:val="00216EFD"/>
    <w:rsid w:val="00B26A32"/>
    <w:rsid w:val="00B9667C"/>
    <w:rsid w:val="00BA049F"/>
    <w:rsid w:val="00C35283"/>
    <w:rsid w:val="00D3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6193"/>
  <w15:docId w15:val="{A8E04A37-8C20-4F10-8592-42105D35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FD"/>
  </w:style>
  <w:style w:type="paragraph" w:styleId="Heading1">
    <w:name w:val="heading 1"/>
    <w:basedOn w:val="Normal"/>
    <w:next w:val="Normal"/>
    <w:link w:val="Heading1Char"/>
    <w:uiPriority w:val="9"/>
    <w:qFormat/>
    <w:rsid w:val="00C3528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528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3528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52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52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52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52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528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528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52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352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52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52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52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52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52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52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52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52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52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35283"/>
    <w:rPr>
      <w:rFonts w:asciiTheme="majorHAnsi" w:eastAsiaTheme="majorEastAsia" w:hAnsiTheme="majorHAnsi" w:cstheme="majorBidi"/>
      <w:i/>
      <w:iCs/>
      <w:spacing w:val="13"/>
      <w:sz w:val="24"/>
      <w:szCs w:val="24"/>
    </w:rPr>
  </w:style>
  <w:style w:type="character" w:styleId="Strong">
    <w:name w:val="Strong"/>
    <w:uiPriority w:val="22"/>
    <w:qFormat/>
    <w:rsid w:val="00C35283"/>
    <w:rPr>
      <w:b/>
      <w:bCs/>
    </w:rPr>
  </w:style>
  <w:style w:type="character" w:styleId="Emphasis">
    <w:name w:val="Emphasis"/>
    <w:uiPriority w:val="20"/>
    <w:qFormat/>
    <w:rsid w:val="00C35283"/>
    <w:rPr>
      <w:b/>
      <w:bCs/>
      <w:i/>
      <w:iCs/>
      <w:spacing w:val="10"/>
      <w:bdr w:val="none" w:sz="0" w:space="0" w:color="auto"/>
      <w:shd w:val="clear" w:color="auto" w:fill="auto"/>
    </w:rPr>
  </w:style>
  <w:style w:type="paragraph" w:styleId="NoSpacing">
    <w:name w:val="No Spacing"/>
    <w:basedOn w:val="Normal"/>
    <w:link w:val="NoSpacingChar"/>
    <w:uiPriority w:val="1"/>
    <w:qFormat/>
    <w:rsid w:val="00C35283"/>
    <w:pPr>
      <w:spacing w:after="0" w:line="240" w:lineRule="auto"/>
    </w:pPr>
  </w:style>
  <w:style w:type="paragraph" w:styleId="ListParagraph">
    <w:name w:val="List Paragraph"/>
    <w:basedOn w:val="Normal"/>
    <w:uiPriority w:val="34"/>
    <w:qFormat/>
    <w:rsid w:val="00C35283"/>
    <w:pPr>
      <w:ind w:left="720"/>
      <w:contextualSpacing/>
    </w:pPr>
  </w:style>
  <w:style w:type="paragraph" w:styleId="Quote">
    <w:name w:val="Quote"/>
    <w:basedOn w:val="Normal"/>
    <w:next w:val="Normal"/>
    <w:link w:val="QuoteChar"/>
    <w:uiPriority w:val="29"/>
    <w:qFormat/>
    <w:rsid w:val="00C35283"/>
    <w:pPr>
      <w:spacing w:before="200" w:after="0"/>
      <w:ind w:left="360" w:right="360"/>
    </w:pPr>
    <w:rPr>
      <w:i/>
      <w:iCs/>
    </w:rPr>
  </w:style>
  <w:style w:type="character" w:customStyle="1" w:styleId="QuoteChar">
    <w:name w:val="Quote Char"/>
    <w:basedOn w:val="DefaultParagraphFont"/>
    <w:link w:val="Quote"/>
    <w:uiPriority w:val="29"/>
    <w:rsid w:val="00C35283"/>
    <w:rPr>
      <w:i/>
      <w:iCs/>
    </w:rPr>
  </w:style>
  <w:style w:type="paragraph" w:styleId="IntenseQuote">
    <w:name w:val="Intense Quote"/>
    <w:basedOn w:val="Normal"/>
    <w:next w:val="Normal"/>
    <w:link w:val="IntenseQuoteChar"/>
    <w:uiPriority w:val="30"/>
    <w:qFormat/>
    <w:rsid w:val="00C352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35283"/>
    <w:rPr>
      <w:b/>
      <w:bCs/>
      <w:i/>
      <w:iCs/>
    </w:rPr>
  </w:style>
  <w:style w:type="character" w:styleId="SubtleEmphasis">
    <w:name w:val="Subtle Emphasis"/>
    <w:uiPriority w:val="19"/>
    <w:qFormat/>
    <w:rsid w:val="00C35283"/>
    <w:rPr>
      <w:i/>
      <w:iCs/>
    </w:rPr>
  </w:style>
  <w:style w:type="character" w:styleId="IntenseEmphasis">
    <w:name w:val="Intense Emphasis"/>
    <w:uiPriority w:val="21"/>
    <w:qFormat/>
    <w:rsid w:val="00C35283"/>
    <w:rPr>
      <w:b/>
      <w:bCs/>
    </w:rPr>
  </w:style>
  <w:style w:type="character" w:styleId="SubtleReference">
    <w:name w:val="Subtle Reference"/>
    <w:uiPriority w:val="31"/>
    <w:qFormat/>
    <w:rsid w:val="00C35283"/>
    <w:rPr>
      <w:smallCaps/>
    </w:rPr>
  </w:style>
  <w:style w:type="character" w:styleId="IntenseReference">
    <w:name w:val="Intense Reference"/>
    <w:uiPriority w:val="32"/>
    <w:qFormat/>
    <w:rsid w:val="00C35283"/>
    <w:rPr>
      <w:smallCaps/>
      <w:spacing w:val="5"/>
      <w:u w:val="single"/>
    </w:rPr>
  </w:style>
  <w:style w:type="character" w:styleId="BookTitle">
    <w:name w:val="Book Title"/>
    <w:uiPriority w:val="33"/>
    <w:qFormat/>
    <w:rsid w:val="00C35283"/>
    <w:rPr>
      <w:i/>
      <w:iCs/>
      <w:smallCaps/>
      <w:spacing w:val="5"/>
    </w:rPr>
  </w:style>
  <w:style w:type="paragraph" w:styleId="TOCHeading">
    <w:name w:val="TOC Heading"/>
    <w:basedOn w:val="Heading1"/>
    <w:next w:val="Normal"/>
    <w:uiPriority w:val="39"/>
    <w:semiHidden/>
    <w:unhideWhenUsed/>
    <w:qFormat/>
    <w:rsid w:val="00C35283"/>
    <w:pPr>
      <w:outlineLvl w:val="9"/>
    </w:pPr>
    <w:rPr>
      <w:lang w:bidi="en-US"/>
    </w:rPr>
  </w:style>
  <w:style w:type="character" w:customStyle="1" w:styleId="NoSpacingChar">
    <w:name w:val="No Spacing Char"/>
    <w:basedOn w:val="DefaultParagraphFont"/>
    <w:link w:val="NoSpacing"/>
    <w:uiPriority w:val="1"/>
    <w:rsid w:val="00C35283"/>
  </w:style>
  <w:style w:type="table" w:styleId="TableGrid">
    <w:name w:val="Table Grid"/>
    <w:basedOn w:val="TableNormal"/>
    <w:uiPriority w:val="59"/>
    <w:rsid w:val="0021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WILLIAMS, Maria (FARNHAM DENE MEDICAL PRACTICE)</cp:lastModifiedBy>
  <cp:revision>4</cp:revision>
  <dcterms:created xsi:type="dcterms:W3CDTF">2019-05-17T11:41:00Z</dcterms:created>
  <dcterms:modified xsi:type="dcterms:W3CDTF">2021-11-30T12:44:00Z</dcterms:modified>
</cp:coreProperties>
</file>